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5E2A6033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bookmarkStart w:id="0" w:name="Number"/>
      <w:r w:rsidRPr="00B0535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B0535A">
        <w:rPr>
          <w:rStyle w:val="Strong"/>
          <w:rFonts w:asciiTheme="minorHAnsi" w:hAnsiTheme="minorHAnsi" w:cstheme="minorHAnsi"/>
          <w:lang w:val="en-GB"/>
        </w:rPr>
        <w:t>P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r w:rsidR="00255437" w:rsidRPr="00B0535A">
        <w:rPr>
          <w:rStyle w:val="Strong"/>
          <w:rFonts w:asciiTheme="minorHAnsi" w:hAnsiTheme="minorHAnsi" w:cstheme="minorHAnsi"/>
          <w:lang w:val="en-GB"/>
        </w:rPr>
        <w:t>MXXX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r w:rsidR="00255437" w:rsidRPr="00B0535A">
        <w:rPr>
          <w:rStyle w:val="Strong"/>
          <w:rFonts w:asciiTheme="minorHAnsi" w:hAnsiTheme="minorHAnsi" w:cstheme="minorHAnsi"/>
          <w:lang w:val="en-GB"/>
        </w:rPr>
        <w:t>202</w:t>
      </w:r>
      <w:bookmarkStart w:id="1" w:name="_GoBack"/>
      <w:bookmarkEnd w:id="1"/>
      <w:r w:rsidR="00255437" w:rsidRPr="00B0535A">
        <w:rPr>
          <w:rStyle w:val="Strong"/>
          <w:rFonts w:asciiTheme="minorHAnsi" w:hAnsiTheme="minorHAnsi" w:cstheme="minorHAnsi"/>
          <w:lang w:val="en-GB"/>
        </w:rPr>
        <w:t>0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r w:rsidRPr="00B0535A">
        <w:rPr>
          <w:rStyle w:val="Strong"/>
          <w:rFonts w:asciiTheme="minorHAnsi" w:hAnsiTheme="minorHAnsi" w:cstheme="minorHAnsi"/>
          <w:highlight w:val="yellow"/>
          <w:lang w:val="en-GB"/>
        </w:rPr>
        <w:t>000</w:t>
      </w:r>
      <w:bookmarkEnd w:id="0"/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3E6BBCE8" w14:textId="1E1D8C68" w:rsidR="00C44890" w:rsidRPr="00B0535A" w:rsidRDefault="00C44890" w:rsidP="004950E4">
      <w:pPr>
        <w:pStyle w:val="Heading2"/>
      </w:pPr>
      <w:bookmarkStart w:id="2" w:name="_Toc419729571"/>
      <w:bookmarkStart w:id="3" w:name="_Toc11156577"/>
      <w:r w:rsidRPr="00B0535A">
        <w:lastRenderedPageBreak/>
        <w:t>Specification</w:t>
      </w:r>
      <w:bookmarkStart w:id="4" w:name="_Toc293504682"/>
      <w:bookmarkStart w:id="5" w:name="_Toc419729572"/>
      <w:bookmarkStart w:id="6" w:name="_Toc292659306"/>
      <w:bookmarkEnd w:id="2"/>
      <w:r w:rsidR="008A0D3E">
        <w:br/>
      </w:r>
      <w:r w:rsidRPr="00B0535A">
        <w:t>Background</w:t>
      </w:r>
      <w:bookmarkEnd w:id="4"/>
      <w:bookmarkEnd w:id="5"/>
    </w:p>
    <w:p w14:paraId="24A7EEAB" w14:textId="36DD9066" w:rsidR="00C44890" w:rsidRDefault="00A92C63" w:rsidP="00C44890">
      <w:pPr>
        <w:rPr>
          <w:lang w:val="en-GB"/>
        </w:rPr>
      </w:pPr>
      <w:r>
        <w:rPr>
          <w:lang w:val="en-GB"/>
        </w:rPr>
        <w:t>The</w:t>
      </w:r>
      <w:r w:rsidR="00D72CB2">
        <w:rPr>
          <w:lang w:val="en-GB"/>
        </w:rPr>
        <w:t xml:space="preserve"> extension </w:t>
      </w:r>
      <w:r>
        <w:rPr>
          <w:lang w:val="en-GB"/>
        </w:rPr>
        <w:t xml:space="preserve">veranda </w:t>
      </w:r>
      <w:r w:rsidR="00D72CB2">
        <w:rPr>
          <w:lang w:val="en-GB"/>
        </w:rPr>
        <w:t xml:space="preserve">for HM MFMRD residence </w:t>
      </w:r>
      <w:r>
        <w:rPr>
          <w:lang w:val="en-GB"/>
        </w:rPr>
        <w:t xml:space="preserve">consist of upgrading </w:t>
      </w:r>
      <w:r w:rsidR="004E1BD4">
        <w:rPr>
          <w:lang w:val="en-GB"/>
        </w:rPr>
        <w:t xml:space="preserve">works </w:t>
      </w:r>
      <w:r w:rsidR="00F51133">
        <w:rPr>
          <w:lang w:val="en-GB"/>
        </w:rPr>
        <w:t>to</w:t>
      </w:r>
      <w:r w:rsidR="004E1BD4">
        <w:rPr>
          <w:lang w:val="en-GB"/>
        </w:rPr>
        <w:t xml:space="preserve"> the </w:t>
      </w:r>
      <w:r w:rsidR="00E17DF1">
        <w:rPr>
          <w:lang w:val="en-GB"/>
        </w:rPr>
        <w:t xml:space="preserve">existing </w:t>
      </w:r>
      <w:r>
        <w:rPr>
          <w:lang w:val="en-GB"/>
        </w:rPr>
        <w:t xml:space="preserve">flat roofing </w:t>
      </w:r>
      <w:r w:rsidR="00E211E2">
        <w:rPr>
          <w:lang w:val="en-GB"/>
        </w:rPr>
        <w:t>veranda</w:t>
      </w:r>
      <w:r w:rsidR="00F51133">
        <w:rPr>
          <w:lang w:val="en-GB"/>
        </w:rPr>
        <w:t xml:space="preserve"> </w:t>
      </w:r>
      <w:r w:rsidR="00D72CB2">
        <w:rPr>
          <w:lang w:val="en-GB"/>
        </w:rPr>
        <w:t>which will be</w:t>
      </w:r>
      <w:r w:rsidR="00F51133">
        <w:rPr>
          <w:lang w:val="en-GB"/>
        </w:rPr>
        <w:t xml:space="preserve"> transformed to</w:t>
      </w:r>
      <w:r>
        <w:rPr>
          <w:lang w:val="en-GB"/>
        </w:rPr>
        <w:t xml:space="preserve"> </w:t>
      </w:r>
      <w:r w:rsidR="00D72CB2">
        <w:rPr>
          <w:lang w:val="en-GB"/>
        </w:rPr>
        <w:t xml:space="preserve">a </w:t>
      </w:r>
      <w:r>
        <w:rPr>
          <w:lang w:val="en-GB"/>
        </w:rPr>
        <w:t xml:space="preserve">slope roofing veranda </w:t>
      </w:r>
      <w:r w:rsidR="00D72CB2">
        <w:rPr>
          <w:lang w:val="en-GB"/>
        </w:rPr>
        <w:t>supported by concrete walls and</w:t>
      </w:r>
      <w:r>
        <w:rPr>
          <w:lang w:val="en-GB"/>
        </w:rPr>
        <w:t xml:space="preserve">. The upgrading works required </w:t>
      </w:r>
      <w:r w:rsidR="00D72CB2">
        <w:rPr>
          <w:lang w:val="en-GB"/>
        </w:rPr>
        <w:t xml:space="preserve">expected to </w:t>
      </w:r>
      <w:r>
        <w:rPr>
          <w:lang w:val="en-GB"/>
        </w:rPr>
        <w:t>maximise living space and</w:t>
      </w:r>
      <w:r w:rsidR="00E211E2">
        <w:rPr>
          <w:lang w:val="en-GB"/>
        </w:rPr>
        <w:t xml:space="preserve"> provide</w:t>
      </w:r>
      <w:r>
        <w:rPr>
          <w:lang w:val="en-GB"/>
        </w:rPr>
        <w:t xml:space="preserve"> </w:t>
      </w:r>
      <w:r w:rsidR="00E211E2">
        <w:rPr>
          <w:lang w:val="en-GB"/>
        </w:rPr>
        <w:t xml:space="preserve">clean roofing rainwater catchment </w:t>
      </w:r>
      <w:r w:rsidR="00D72CB2">
        <w:rPr>
          <w:lang w:val="en-GB"/>
        </w:rPr>
        <w:t xml:space="preserve">to be </w:t>
      </w:r>
      <w:r w:rsidR="00E211E2">
        <w:rPr>
          <w:lang w:val="en-GB"/>
        </w:rPr>
        <w:t>connected to existing water tanks</w:t>
      </w:r>
      <w:r w:rsidR="00026B6A">
        <w:rPr>
          <w:lang w:val="en-GB"/>
        </w:rPr>
        <w:t xml:space="preserve"> </w:t>
      </w:r>
      <w:r w:rsidR="00D72CB2">
        <w:rPr>
          <w:lang w:val="en-GB"/>
        </w:rPr>
        <w:t>system</w:t>
      </w:r>
      <w:r w:rsidR="00E211E2">
        <w:rPr>
          <w:lang w:val="en-GB"/>
        </w:rPr>
        <w:t xml:space="preserve">. </w:t>
      </w:r>
    </w:p>
    <w:p w14:paraId="32CDB270" w14:textId="7B9E73D4" w:rsidR="00026B6A" w:rsidRDefault="00026B6A" w:rsidP="00C44890">
      <w:pPr>
        <w:rPr>
          <w:lang w:val="en-GB"/>
        </w:rPr>
      </w:pPr>
      <w:r>
        <w:rPr>
          <w:lang w:val="en-GB"/>
        </w:rPr>
        <w:t>Due to limited living space</w:t>
      </w:r>
      <w:r w:rsidR="00D72CB2">
        <w:rPr>
          <w:lang w:val="en-GB"/>
        </w:rPr>
        <w:t xml:space="preserve"> </w:t>
      </w:r>
      <w:r w:rsidR="00D77311">
        <w:rPr>
          <w:lang w:val="en-GB"/>
        </w:rPr>
        <w:t>of the</w:t>
      </w:r>
      <w:r w:rsidR="00D72CB2">
        <w:rPr>
          <w:lang w:val="en-GB"/>
        </w:rPr>
        <w:t xml:space="preserve"> entire building</w:t>
      </w:r>
      <w:r>
        <w:rPr>
          <w:lang w:val="en-GB"/>
        </w:rPr>
        <w:t xml:space="preserve">, the </w:t>
      </w:r>
      <w:r w:rsidR="004E1BD4">
        <w:rPr>
          <w:lang w:val="en-GB"/>
        </w:rPr>
        <w:t xml:space="preserve">upgraded </w:t>
      </w:r>
      <w:r>
        <w:rPr>
          <w:lang w:val="en-GB"/>
        </w:rPr>
        <w:t xml:space="preserve">veranda </w:t>
      </w:r>
      <w:r w:rsidR="008670DD">
        <w:rPr>
          <w:lang w:val="en-GB"/>
        </w:rPr>
        <w:t xml:space="preserve">as extension </w:t>
      </w:r>
      <w:r>
        <w:rPr>
          <w:lang w:val="en-GB"/>
        </w:rPr>
        <w:t xml:space="preserve">will be used </w:t>
      </w:r>
      <w:r w:rsidR="008670DD">
        <w:rPr>
          <w:lang w:val="en-GB"/>
        </w:rPr>
        <w:t>for</w:t>
      </w:r>
      <w:r>
        <w:rPr>
          <w:lang w:val="en-GB"/>
        </w:rPr>
        <w:t xml:space="preserve"> lounge and existing lounge as dining room. The new structure </w:t>
      </w:r>
      <w:r w:rsidR="004E1BD4">
        <w:rPr>
          <w:lang w:val="en-GB"/>
        </w:rPr>
        <w:t>component includes</w:t>
      </w:r>
      <w:r>
        <w:rPr>
          <w:lang w:val="en-GB"/>
        </w:rPr>
        <w:t xml:space="preserve"> </w:t>
      </w:r>
      <w:r w:rsidR="00F51133">
        <w:rPr>
          <w:lang w:val="en-GB"/>
        </w:rPr>
        <w:t xml:space="preserve">slope roofing with ceiling, </w:t>
      </w:r>
      <w:r>
        <w:rPr>
          <w:lang w:val="en-GB"/>
        </w:rPr>
        <w:t xml:space="preserve">two to three layer of concrete wall </w:t>
      </w:r>
      <w:r w:rsidR="004E1BD4">
        <w:rPr>
          <w:lang w:val="en-GB"/>
        </w:rPr>
        <w:t>that</w:t>
      </w:r>
      <w:r>
        <w:rPr>
          <w:lang w:val="en-GB"/>
        </w:rPr>
        <w:t xml:space="preserve"> extended with timber louver frame, security wire and windscreen</w:t>
      </w:r>
      <w:r w:rsidR="004E1BD4">
        <w:rPr>
          <w:lang w:val="en-GB"/>
        </w:rPr>
        <w:t xml:space="preserve"> to prevent rainwater </w:t>
      </w:r>
      <w:r w:rsidR="00D72CB2">
        <w:rPr>
          <w:lang w:val="en-GB"/>
        </w:rPr>
        <w:t>splashing</w:t>
      </w:r>
      <w:r>
        <w:rPr>
          <w:lang w:val="en-GB"/>
        </w:rPr>
        <w:t>.</w:t>
      </w:r>
      <w:r w:rsidR="0012023D">
        <w:rPr>
          <w:lang w:val="en-GB"/>
        </w:rPr>
        <w:t xml:space="preserve"> </w:t>
      </w:r>
      <w:r w:rsidR="008670DD">
        <w:rPr>
          <w:lang w:val="en-GB"/>
        </w:rPr>
        <w:t>Minor The</w:t>
      </w:r>
      <w:r w:rsidR="00904DCC">
        <w:rPr>
          <w:lang w:val="en-GB"/>
        </w:rPr>
        <w:t xml:space="preserve"> existing structure will be </w:t>
      </w:r>
      <w:r w:rsidR="008670DD">
        <w:rPr>
          <w:lang w:val="en-GB"/>
        </w:rPr>
        <w:t>demolished,</w:t>
      </w:r>
      <w:r w:rsidR="00904DCC">
        <w:rPr>
          <w:lang w:val="en-GB"/>
        </w:rPr>
        <w:t xml:space="preserve"> </w:t>
      </w:r>
      <w:r w:rsidR="008670DD">
        <w:rPr>
          <w:lang w:val="en-GB"/>
        </w:rPr>
        <w:t xml:space="preserve">and </w:t>
      </w:r>
      <w:r w:rsidR="00904DCC">
        <w:rPr>
          <w:lang w:val="en-GB"/>
        </w:rPr>
        <w:t xml:space="preserve">concrete floor </w:t>
      </w:r>
      <w:r w:rsidR="008670DD">
        <w:rPr>
          <w:lang w:val="en-GB"/>
        </w:rPr>
        <w:t xml:space="preserve">retained to </w:t>
      </w:r>
      <w:r w:rsidR="00904DCC">
        <w:rPr>
          <w:lang w:val="en-GB"/>
        </w:rPr>
        <w:t xml:space="preserve">be used for new veranda. </w:t>
      </w:r>
    </w:p>
    <w:p w14:paraId="758BD10F" w14:textId="2ED4CFE7" w:rsidR="009E7D6B" w:rsidRDefault="002A4740" w:rsidP="009E7D6B">
      <w:pPr>
        <w:pStyle w:val="Heading3"/>
        <w:rPr>
          <w:rFonts w:cs="Calibri"/>
          <w:b w:val="0"/>
          <w:bCs/>
          <w:lang w:val="en-GB"/>
        </w:rPr>
      </w:pPr>
      <w:bookmarkStart w:id="7" w:name="_Toc312171709"/>
      <w:r w:rsidRPr="00B0535A">
        <w:rPr>
          <w:rFonts w:cs="Calibri"/>
          <w:lang w:val="en-GB"/>
        </w:rPr>
        <w:t>Requirements</w:t>
      </w:r>
      <w:r w:rsidR="009E7D6B">
        <w:rPr>
          <w:rFonts w:cs="Calibri"/>
          <w:lang w:val="en-GB"/>
        </w:rPr>
        <w:t xml:space="preserve"> </w:t>
      </w:r>
      <w:r w:rsidR="009E7D6B">
        <w:rPr>
          <w:rFonts w:cs="Calibri"/>
          <w:lang w:val="en-GB"/>
        </w:rPr>
        <w:br/>
      </w:r>
      <w:r w:rsidR="009E7D6B" w:rsidRPr="009E7D6B">
        <w:rPr>
          <w:rFonts w:cs="Calibri"/>
          <w:b w:val="0"/>
          <w:bCs/>
          <w:lang w:val="en-GB"/>
        </w:rPr>
        <w:t>Tenderers are required to provide the following document</w:t>
      </w:r>
      <w:r w:rsidR="009E7D6B">
        <w:rPr>
          <w:rFonts w:cs="Calibri"/>
          <w:b w:val="0"/>
          <w:bCs/>
          <w:lang w:val="en-GB"/>
        </w:rPr>
        <w:t>s</w:t>
      </w:r>
      <w:r w:rsidR="009E7D6B" w:rsidRPr="009E7D6B">
        <w:rPr>
          <w:rFonts w:cs="Calibri"/>
          <w:b w:val="0"/>
          <w:bCs/>
          <w:lang w:val="en-GB"/>
        </w:rPr>
        <w:t xml:space="preserve"> </w:t>
      </w:r>
      <w:r w:rsidR="009E7D6B">
        <w:rPr>
          <w:rFonts w:cs="Calibri"/>
          <w:b w:val="0"/>
          <w:bCs/>
          <w:lang w:val="en-GB"/>
        </w:rPr>
        <w:t>to form part of their submissions.</w:t>
      </w:r>
    </w:p>
    <w:p w14:paraId="35389D59" w14:textId="67AFA52C" w:rsidR="009E7D6B" w:rsidRDefault="009E7D6B" w:rsidP="009E7D6B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 xml:space="preserve">Covering letter </w:t>
      </w:r>
    </w:p>
    <w:p w14:paraId="58607BA0" w14:textId="49D0343D" w:rsidR="009E7D6B" w:rsidRDefault="009E7D6B" w:rsidP="009E7D6B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>Certificate of compliance form</w:t>
      </w:r>
    </w:p>
    <w:p w14:paraId="5370F328" w14:textId="61CD66E1" w:rsidR="00800C27" w:rsidRDefault="00800C27" w:rsidP="009E7D6B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>Business Registration and Valid construction licence.</w:t>
      </w:r>
    </w:p>
    <w:p w14:paraId="0DDE6EAF" w14:textId="07F8E2C0" w:rsidR="009E7D6B" w:rsidRDefault="009E7D6B" w:rsidP="009E7D6B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 xml:space="preserve">Technical component must include Team composition, narrative on how to procure materials and brief methodology on </w:t>
      </w:r>
      <w:r w:rsidR="00D77311">
        <w:rPr>
          <w:lang w:val="en-GB"/>
        </w:rPr>
        <w:t xml:space="preserve">procurement </w:t>
      </w:r>
      <w:r>
        <w:rPr>
          <w:lang w:val="en-GB"/>
        </w:rPr>
        <w:t>construction work</w:t>
      </w:r>
      <w:r w:rsidR="00D77311">
        <w:rPr>
          <w:lang w:val="en-GB"/>
        </w:rPr>
        <w:t xml:space="preserve"> procedures</w:t>
      </w:r>
      <w:r w:rsidR="00800C27">
        <w:rPr>
          <w:lang w:val="en-GB"/>
        </w:rPr>
        <w:t>, work program</w:t>
      </w:r>
      <w:r w:rsidR="008A0D3E">
        <w:rPr>
          <w:lang w:val="en-GB"/>
        </w:rPr>
        <w:t xml:space="preserve">, and at least 3 references. </w:t>
      </w:r>
    </w:p>
    <w:p w14:paraId="0F600BDA" w14:textId="4202F3FF" w:rsidR="009E7D6B" w:rsidRPr="009E7D6B" w:rsidRDefault="009E7D6B" w:rsidP="009E7D6B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 xml:space="preserve"> Financial </w:t>
      </w:r>
      <w:r w:rsidR="00800C27">
        <w:rPr>
          <w:lang w:val="en-GB"/>
        </w:rPr>
        <w:t xml:space="preserve">Component </w:t>
      </w:r>
      <w:r w:rsidR="004950E4">
        <w:rPr>
          <w:lang w:val="en-GB"/>
        </w:rPr>
        <w:t>–</w:t>
      </w:r>
      <w:r w:rsidR="00800C27">
        <w:rPr>
          <w:lang w:val="en-GB"/>
        </w:rPr>
        <w:t xml:space="preserve"> </w:t>
      </w:r>
      <w:r w:rsidR="004950E4">
        <w:rPr>
          <w:lang w:val="en-GB"/>
        </w:rPr>
        <w:t>Include Fee structure using BOQ/Material list template provided, Financial statement in last three years and financial plan that link activity and payment mechanisms.</w:t>
      </w:r>
    </w:p>
    <w:p w14:paraId="3321152F" w14:textId="47E9FAA4" w:rsidR="00C44890" w:rsidRDefault="00272E3F" w:rsidP="00E262AD">
      <w:pPr>
        <w:pStyle w:val="Heading3"/>
        <w:rPr>
          <w:rFonts w:cs="Calibri"/>
          <w:lang w:val="en-GB"/>
        </w:rPr>
      </w:pPr>
      <w:bookmarkStart w:id="8" w:name="_Toc419729577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</w:t>
      </w:r>
      <w:bookmarkEnd w:id="8"/>
      <w:r w:rsidR="00E262AD">
        <w:rPr>
          <w:rFonts w:cs="Calibri"/>
          <w:lang w:val="en-GB"/>
        </w:rPr>
        <w:t>s</w:t>
      </w:r>
    </w:p>
    <w:p w14:paraId="764147E2" w14:textId="6FEDA184" w:rsidR="00E262AD" w:rsidRPr="00E262AD" w:rsidRDefault="00CF494C" w:rsidP="00E262AD">
      <w:pPr>
        <w:rPr>
          <w:lang w:val="en-GB"/>
        </w:rPr>
      </w:pPr>
      <w:r>
        <w:rPr>
          <w:lang w:val="en-GB"/>
        </w:rPr>
        <w:t xml:space="preserve">Electricity works and plumbing are related services might be required </w:t>
      </w:r>
      <w:r w:rsidR="00400CD7">
        <w:rPr>
          <w:lang w:val="en-GB"/>
        </w:rPr>
        <w:t xml:space="preserve">during construction of new veranda. 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9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1FAB4B7A" w14:textId="3081BF09" w:rsidR="00C44890" w:rsidRPr="00400CD7" w:rsidRDefault="00400CD7" w:rsidP="00400CD7">
      <w:pPr>
        <w:pStyle w:val="ListParagraph"/>
        <w:numPr>
          <w:ilvl w:val="0"/>
          <w:numId w:val="16"/>
        </w:numPr>
        <w:ind w:leftChars="0"/>
        <w:rPr>
          <w:sz w:val="24"/>
          <w:szCs w:val="28"/>
          <w:lang w:val="en-GB"/>
        </w:rPr>
      </w:pPr>
      <w:r w:rsidRPr="00400CD7">
        <w:rPr>
          <w:sz w:val="24"/>
          <w:szCs w:val="28"/>
          <w:lang w:val="en-GB"/>
        </w:rPr>
        <w:t>Project materials should be procured and delivered to the site within one weeks after signing of contract and receipt of first advance payment.</w:t>
      </w:r>
    </w:p>
    <w:p w14:paraId="67855A6B" w14:textId="4E9A3DAC" w:rsidR="00400CD7" w:rsidRPr="00400CD7" w:rsidRDefault="00400CD7" w:rsidP="00400CD7">
      <w:pPr>
        <w:pStyle w:val="ListParagraph"/>
        <w:numPr>
          <w:ilvl w:val="0"/>
          <w:numId w:val="16"/>
        </w:numPr>
        <w:ind w:leftChars="0"/>
        <w:rPr>
          <w:sz w:val="24"/>
          <w:szCs w:val="28"/>
          <w:lang w:val="en-GB"/>
        </w:rPr>
      </w:pPr>
      <w:r>
        <w:rPr>
          <w:sz w:val="24"/>
          <w:szCs w:val="28"/>
          <w:lang w:val="en-GB"/>
        </w:rPr>
        <w:t>Project construction period should not exceed 2 months.</w:t>
      </w:r>
    </w:p>
    <w:bookmarkEnd w:id="6"/>
    <w:bookmarkEnd w:id="7"/>
    <w:p w14:paraId="69E741C9" w14:textId="567FF9D2" w:rsidR="00C44890" w:rsidRPr="00856A14" w:rsidRDefault="00C44890" w:rsidP="00856A14">
      <w:pPr>
        <w:pStyle w:val="Heading2"/>
        <w:rPr>
          <w:b w:val="0"/>
          <w:bCs/>
          <w:sz w:val="20"/>
          <w:szCs w:val="20"/>
        </w:rPr>
      </w:pPr>
      <w:r w:rsidRPr="00B0535A">
        <w:t xml:space="preserve">Description of the </w:t>
      </w:r>
      <w:r w:rsidR="00272E3F" w:rsidRPr="00B0535A">
        <w:t>Works</w:t>
      </w:r>
      <w:bookmarkEnd w:id="3"/>
      <w:r w:rsidR="00856A14" w:rsidRPr="00856A14">
        <w:t xml:space="preserve"> </w:t>
      </w:r>
      <w:r w:rsidR="00856A14" w:rsidRPr="00856A14">
        <w:rPr>
          <w:b w:val="0"/>
          <w:bCs/>
          <w:sz w:val="28"/>
          <w:szCs w:val="28"/>
        </w:rPr>
        <w:t>(</w:t>
      </w:r>
      <w:r w:rsidRPr="00856A14">
        <w:rPr>
          <w:b w:val="0"/>
          <w:bCs/>
          <w:sz w:val="18"/>
          <w:szCs w:val="18"/>
        </w:rPr>
        <w:t>H</w:t>
      </w:r>
      <w:r w:rsidRPr="00856A14">
        <w:rPr>
          <w:b w:val="0"/>
          <w:bCs/>
          <w:sz w:val="20"/>
          <w:szCs w:val="20"/>
        </w:rPr>
        <w:t xml:space="preserve">ere, list all items to be </w:t>
      </w:r>
      <w:r w:rsidR="009A667E" w:rsidRPr="00856A14">
        <w:rPr>
          <w:b w:val="0"/>
          <w:bCs/>
          <w:sz w:val="20"/>
          <w:szCs w:val="20"/>
        </w:rPr>
        <w:t>Tendered)</w:t>
      </w:r>
    </w:p>
    <w:p w14:paraId="44482AAF" w14:textId="35D89896" w:rsidR="009A667E" w:rsidRPr="004950E4" w:rsidRDefault="009A667E" w:rsidP="004950E4">
      <w:pPr>
        <w:pStyle w:val="ListParagraph"/>
        <w:numPr>
          <w:ilvl w:val="0"/>
          <w:numId w:val="17"/>
        </w:numPr>
        <w:ind w:leftChars="0"/>
        <w:rPr>
          <w:sz w:val="18"/>
          <w:szCs w:val="20"/>
          <w:lang w:val="en-GB"/>
        </w:rPr>
      </w:pPr>
      <w:r>
        <w:rPr>
          <w:lang w:val="en-GB"/>
        </w:rPr>
        <w:t>Construction Specification</w:t>
      </w:r>
      <w:r w:rsidR="004950E4">
        <w:rPr>
          <w:lang w:val="en-GB"/>
        </w:rPr>
        <w:t xml:space="preserve">; </w:t>
      </w:r>
      <w:r w:rsidRPr="004950E4">
        <w:rPr>
          <w:lang w:val="en-GB"/>
        </w:rPr>
        <w:t xml:space="preserve">Refer to detail specification of work highlighted on Page </w:t>
      </w:r>
      <w:r w:rsidRPr="004950E4">
        <w:rPr>
          <w:b/>
          <w:bCs/>
          <w:lang w:val="en-GB"/>
        </w:rPr>
        <w:t>A0</w:t>
      </w:r>
      <w:r w:rsidR="005076B2" w:rsidRPr="004950E4">
        <w:rPr>
          <w:b/>
          <w:bCs/>
          <w:lang w:val="en-GB"/>
        </w:rPr>
        <w:t>9</w:t>
      </w:r>
      <w:r w:rsidRPr="004950E4">
        <w:rPr>
          <w:lang w:val="en-GB"/>
        </w:rPr>
        <w:t xml:space="preserve"> of </w:t>
      </w:r>
      <w:r w:rsidRPr="004950E4">
        <w:rPr>
          <w:b/>
          <w:bCs/>
          <w:i/>
          <w:iCs/>
          <w:sz w:val="18"/>
          <w:szCs w:val="20"/>
          <w:lang w:val="en-GB"/>
        </w:rPr>
        <w:t>MFMRD HM Residence Veranda -Final design</w:t>
      </w:r>
    </w:p>
    <w:p w14:paraId="79EA0318" w14:textId="287CE64E" w:rsidR="003858FC" w:rsidRPr="004950E4" w:rsidRDefault="003858FC" w:rsidP="004950E4">
      <w:pPr>
        <w:pStyle w:val="ListParagraph"/>
        <w:numPr>
          <w:ilvl w:val="0"/>
          <w:numId w:val="17"/>
        </w:numPr>
        <w:ind w:leftChars="0"/>
        <w:rPr>
          <w:sz w:val="14"/>
          <w:szCs w:val="16"/>
          <w:lang w:val="en-GB"/>
        </w:rPr>
      </w:pPr>
      <w:r>
        <w:rPr>
          <w:lang w:val="en-GB"/>
        </w:rPr>
        <w:t xml:space="preserve">Project </w:t>
      </w:r>
      <w:r w:rsidR="004950E4">
        <w:rPr>
          <w:lang w:val="en-GB"/>
        </w:rPr>
        <w:t xml:space="preserve">materials; </w:t>
      </w:r>
      <w:r w:rsidR="009A667E" w:rsidRPr="004950E4">
        <w:rPr>
          <w:lang w:val="en-GB"/>
        </w:rPr>
        <w:t>Refer to Bill of Quantities (BOQ)</w:t>
      </w:r>
      <w:r w:rsidRPr="004950E4">
        <w:rPr>
          <w:lang w:val="en-GB"/>
        </w:rPr>
        <w:t xml:space="preserve"> provided in BOQ template </w:t>
      </w:r>
      <w:r w:rsidR="009A667E" w:rsidRPr="004950E4">
        <w:rPr>
          <w:lang w:val="en-GB"/>
        </w:rPr>
        <w:t xml:space="preserve">attached - </w:t>
      </w:r>
      <w:r w:rsidR="009A667E" w:rsidRPr="004950E4">
        <w:rPr>
          <w:b/>
          <w:bCs/>
          <w:i/>
          <w:iCs/>
          <w:sz w:val="14"/>
          <w:szCs w:val="16"/>
          <w:lang w:val="en-GB"/>
        </w:rPr>
        <w:t>MFMRD HM Residence Veranda BOQ</w:t>
      </w: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9985" w:type="dxa"/>
        <w:tblLook w:val="04A0" w:firstRow="1" w:lastRow="0" w:firstColumn="1" w:lastColumn="0" w:noHBand="0" w:noVBand="1"/>
      </w:tblPr>
      <w:tblGrid>
        <w:gridCol w:w="2398"/>
        <w:gridCol w:w="1850"/>
        <w:gridCol w:w="4117"/>
        <w:gridCol w:w="1620"/>
      </w:tblGrid>
      <w:tr w:rsidR="00772E21" w:rsidRPr="00B0535A" w14:paraId="38AD7A2E" w14:textId="77777777" w:rsidTr="00856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4117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620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856A14">
        <w:trPr>
          <w:trHeight w:val="10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4117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620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856A14">
        <w:trPr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4117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620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856A14">
        <w:trPr>
          <w:trHeight w:val="1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4117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620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856A14">
        <w:trPr>
          <w:trHeight w:val="8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4117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620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327BB" w14:textId="77777777" w:rsidR="003F74A8" w:rsidRDefault="003F74A8">
      <w:r>
        <w:separator/>
      </w:r>
    </w:p>
  </w:endnote>
  <w:endnote w:type="continuationSeparator" w:id="0">
    <w:p w14:paraId="5B052AFB" w14:textId="77777777" w:rsidR="003F74A8" w:rsidRDefault="003F74A8">
      <w:r>
        <w:continuationSeparator/>
      </w:r>
    </w:p>
  </w:endnote>
  <w:endnote w:type="continuationNotice" w:id="1">
    <w:p w14:paraId="19A68FA0" w14:textId="77777777" w:rsidR="003F74A8" w:rsidRDefault="003F74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3F29C2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77311">
      <w:rPr>
        <w:noProof/>
      </w:rPr>
      <w:t>2022-05-10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20435" w14:textId="77777777" w:rsidR="003F74A8" w:rsidRDefault="003F74A8">
      <w:r>
        <w:separator/>
      </w:r>
    </w:p>
  </w:footnote>
  <w:footnote w:type="continuationSeparator" w:id="0">
    <w:p w14:paraId="1E8C336A" w14:textId="77777777" w:rsidR="003F74A8" w:rsidRDefault="003F74A8">
      <w:r>
        <w:continuationSeparator/>
      </w:r>
    </w:p>
  </w:footnote>
  <w:footnote w:type="continuationNotice" w:id="1">
    <w:p w14:paraId="40B51B75" w14:textId="77777777" w:rsidR="003F74A8" w:rsidRDefault="003F74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D3755" w14:textId="6027704D" w:rsidR="00C44890" w:rsidRPr="00AE7206" w:rsidRDefault="007D7043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BD3F80" w:rsidRPr="008F4C08">
      <w:rPr>
        <w:noProof/>
      </w:rPr>
      <w:drawing>
        <wp:inline distT="0" distB="0" distL="0" distR="0" wp14:anchorId="6B971703" wp14:editId="18D53764">
          <wp:extent cx="619125" cy="677395"/>
          <wp:effectExtent l="0" t="0" r="0" b="8890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234" cy="70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D3F80">
      <w:rPr>
        <w:rFonts w:asciiTheme="minorHAnsi" w:hAnsiTheme="minorHAnsi" w:cs="Calibri"/>
        <w:sz w:val="20"/>
      </w:rPr>
      <w:tab/>
    </w:r>
    <w:r w:rsidR="00BD3F80">
      <w:rPr>
        <w:rFonts w:asciiTheme="minorHAnsi" w:hAnsiTheme="minorHAnsi" w:cs="Calibri"/>
        <w:sz w:val="20"/>
      </w:rPr>
      <w:fldChar w:fldCharType="begin"/>
    </w:r>
    <w:r w:rsidR="00BD3F80">
      <w:rPr>
        <w:rFonts w:asciiTheme="minorHAnsi" w:hAnsiTheme="minorHAnsi" w:cs="Calibri"/>
        <w:sz w:val="20"/>
      </w:rPr>
      <w:instrText xml:space="preserve"> REF Number \h </w:instrText>
    </w:r>
    <w:r w:rsidR="00D47CCE">
      <w:rPr>
        <w:rFonts w:asciiTheme="minorHAnsi" w:hAnsiTheme="minorHAnsi" w:cs="Calibri"/>
        <w:sz w:val="20"/>
      </w:rPr>
      <w:instrText xml:space="preserve"> \* MERGEFORMAT </w:instrText>
    </w:r>
    <w:r w:rsidR="00BD3F80">
      <w:rPr>
        <w:rFonts w:asciiTheme="minorHAnsi" w:hAnsiTheme="minorHAnsi" w:cs="Calibri"/>
        <w:sz w:val="20"/>
      </w:rPr>
    </w:r>
    <w:r w:rsidR="00BD3F80">
      <w:rPr>
        <w:rFonts w:asciiTheme="minorHAnsi" w:hAnsiTheme="minorHAnsi" w:cs="Calibri"/>
        <w:sz w:val="20"/>
      </w:rPr>
      <w:fldChar w:fldCharType="separate"/>
    </w:r>
    <w:r w:rsidR="00255437" w:rsidRPr="00255437">
      <w:rPr>
        <w:rStyle w:val="Strong"/>
        <w:rFonts w:asciiTheme="minorHAnsi" w:hAnsiTheme="minorHAnsi" w:cstheme="minorHAnsi"/>
        <w:lang w:val="en-GB"/>
      </w:rPr>
      <w:t>RFP-</w:t>
    </w:r>
    <w:r w:rsidR="00255437">
      <w:rPr>
        <w:rStyle w:val="Strong"/>
        <w:rFonts w:asciiTheme="minorHAnsi" w:hAnsiTheme="minorHAnsi" w:cstheme="minorHAnsi"/>
        <w:lang w:val="en-GB"/>
      </w:rPr>
      <w:t>MXXX</w:t>
    </w:r>
    <w:r w:rsidR="00255437" w:rsidRPr="00255437">
      <w:rPr>
        <w:rStyle w:val="Strong"/>
        <w:rFonts w:asciiTheme="minorHAnsi" w:hAnsiTheme="minorHAnsi" w:cstheme="minorHAnsi"/>
        <w:lang w:val="en-GB"/>
      </w:rPr>
      <w:t>-2020-</w:t>
    </w:r>
    <w:r w:rsidR="00255437" w:rsidRPr="00D47CCE">
      <w:rPr>
        <w:rStyle w:val="Strong"/>
        <w:rFonts w:asciiTheme="minorHAnsi" w:hAnsiTheme="minorHAnsi" w:cstheme="minorHAnsi"/>
        <w:lang w:val="en-GB"/>
      </w:rPr>
      <w:t>000</w:t>
    </w:r>
    <w:r w:rsidR="00BD3F80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B3748"/>
    <w:multiLevelType w:val="hybridMultilevel"/>
    <w:tmpl w:val="3D2E9F86"/>
    <w:lvl w:ilvl="0" w:tplc="1FDCAF70"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27147292"/>
    <w:multiLevelType w:val="hybridMultilevel"/>
    <w:tmpl w:val="53B0FFC6"/>
    <w:lvl w:ilvl="0" w:tplc="128867B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21030"/>
    <w:multiLevelType w:val="hybridMultilevel"/>
    <w:tmpl w:val="6A4C4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7"/>
  </w:num>
  <w:num w:numId="4">
    <w:abstractNumId w:val="7"/>
  </w:num>
  <w:num w:numId="5">
    <w:abstractNumId w:val="6"/>
  </w:num>
  <w:num w:numId="6">
    <w:abstractNumId w:val="11"/>
  </w:num>
  <w:num w:numId="7">
    <w:abstractNumId w:val="8"/>
  </w:num>
  <w:num w:numId="8">
    <w:abstractNumId w:val="14"/>
  </w:num>
  <w:num w:numId="9">
    <w:abstractNumId w:val="0"/>
  </w:num>
  <w:num w:numId="10">
    <w:abstractNumId w:val="13"/>
  </w:num>
  <w:num w:numId="11">
    <w:abstractNumId w:val="4"/>
  </w:num>
  <w:num w:numId="12">
    <w:abstractNumId w:val="10"/>
  </w:num>
  <w:num w:numId="13">
    <w:abstractNumId w:val="15"/>
  </w:num>
  <w:num w:numId="14">
    <w:abstractNumId w:val="5"/>
  </w:num>
  <w:num w:numId="15">
    <w:abstractNumId w:val="9"/>
  </w:num>
  <w:num w:numId="16">
    <w:abstractNumId w:val="12"/>
  </w:num>
  <w:num w:numId="17">
    <w:abstractNumId w:val="1"/>
  </w:num>
  <w:num w:numId="18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6B6A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6419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023D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3D9B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58FC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4A8"/>
    <w:rsid w:val="003F7E3B"/>
    <w:rsid w:val="004001C1"/>
    <w:rsid w:val="00400AD5"/>
    <w:rsid w:val="00400CD7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6968"/>
    <w:rsid w:val="004878F3"/>
    <w:rsid w:val="00487F5F"/>
    <w:rsid w:val="00490A18"/>
    <w:rsid w:val="00490E21"/>
    <w:rsid w:val="004930F7"/>
    <w:rsid w:val="004950E4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1BD4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276"/>
    <w:rsid w:val="00506918"/>
    <w:rsid w:val="005076B2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2719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03B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C27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4DF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A14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0DD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0D3E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DCC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667E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D6B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2C63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53B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94C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0A4C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2CB2"/>
    <w:rsid w:val="00D74C8A"/>
    <w:rsid w:val="00D75827"/>
    <w:rsid w:val="00D76968"/>
    <w:rsid w:val="00D77286"/>
    <w:rsid w:val="00D77311"/>
    <w:rsid w:val="00D81A96"/>
    <w:rsid w:val="00D81CA7"/>
    <w:rsid w:val="00D81F19"/>
    <w:rsid w:val="00D82282"/>
    <w:rsid w:val="00D85B59"/>
    <w:rsid w:val="00D8753C"/>
    <w:rsid w:val="00D9035F"/>
    <w:rsid w:val="00D907C0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964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17DF1"/>
    <w:rsid w:val="00E20080"/>
    <w:rsid w:val="00E20611"/>
    <w:rsid w:val="00E211E2"/>
    <w:rsid w:val="00E213E1"/>
    <w:rsid w:val="00E2200E"/>
    <w:rsid w:val="00E262AD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1B56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4C7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1133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99D5D4-1641-4B0E-B690-2EA22188B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207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2526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Tabuki Teoraata</cp:lastModifiedBy>
  <cp:revision>20</cp:revision>
  <cp:lastPrinted>2013-10-18T08:32:00Z</cp:lastPrinted>
  <dcterms:created xsi:type="dcterms:W3CDTF">2020-07-06T13:10:00Z</dcterms:created>
  <dcterms:modified xsi:type="dcterms:W3CDTF">2022-05-09T23:01:00Z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